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20EF18F7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3F9FABF6" w:rsidR="00FD0711" w:rsidRPr="00E5135C" w:rsidRDefault="0094039F" w:rsidP="00E5135C">
            <w:pPr>
              <w:spacing w:after="0" w:line="240" w:lineRule="auto"/>
              <w:rPr>
                <w:rFonts w:ascii="Times New Roman" w:hAnsi="Times New Roman"/>
              </w:rPr>
            </w:pPr>
            <w:r w:rsidRPr="00C06462">
              <w:rPr>
                <w:rFonts w:ascii="Times New Roman" w:hAnsi="Times New Roman"/>
              </w:rPr>
              <w:t>Calculatoare și tehnologia informației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27FD6A72" w:rsidR="00A32B38" w:rsidRPr="00E470EE" w:rsidRDefault="0094039F" w:rsidP="00A32B3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06462">
              <w:rPr>
                <w:rFonts w:ascii="Times New Roman" w:hAnsi="Times New Roman"/>
                <w:i/>
                <w:iCs/>
              </w:rPr>
              <w:t>Limbaje specializate și traducere asistată de calculator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D0711" w:rsidRPr="00E5135C" w:rsidRDefault="00406555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439547C2" w:rsidR="00D46EF7" w:rsidRPr="00E5135C" w:rsidRDefault="00D46EF7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B9CCF98" w:rsidR="004F426F" w:rsidRPr="00E5135C" w:rsidRDefault="009B23A2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0F6C77E2" w:rsidR="001F003F" w:rsidRPr="00932625" w:rsidRDefault="00391F73" w:rsidP="009326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587222">
              <w:rPr>
                <w:rFonts w:ascii="Times New Roman" w:hAnsi="Times New Roman"/>
                <w:i/>
                <w:iCs/>
              </w:rPr>
              <w:t>Tehnicile traducerii multimedia. Analiza și mizele comunicării</w:t>
            </w:r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26AF98EE" w:rsidR="00FD0711" w:rsidRPr="0007194F" w:rsidRDefault="00E5135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35C">
              <w:rPr>
                <w:rFonts w:ascii="Times New Roman" w:hAnsi="Times New Roman"/>
                <w:sz w:val="24"/>
                <w:szCs w:val="24"/>
              </w:rPr>
              <w:t>Conf.univ.dr. Ilinca Cristina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4278741F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6" w:type="dxa"/>
            <w:gridSpan w:val="6"/>
          </w:tcPr>
          <w:p w14:paraId="4CA0B319" w14:textId="519503E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35C" w:rsidRPr="00FF4C55" w14:paraId="3BE3C0BE" w14:textId="77777777" w:rsidTr="00204311">
        <w:tc>
          <w:tcPr>
            <w:tcW w:w="1756" w:type="dxa"/>
          </w:tcPr>
          <w:p w14:paraId="4026D74C" w14:textId="31046458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5597E933" w:rsidR="00FD0711" w:rsidRPr="00FF4C55" w:rsidRDefault="0058722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7DA4A2EF" w14:textId="29A282B3" w:rsidR="00FD0711" w:rsidRPr="00FF4C55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559802D8" w:rsidR="00FD0711" w:rsidRPr="00FF4C55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FD0711" w:rsidRPr="00FF4C55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67B4ACD2" w:rsidR="00FD0711" w:rsidRPr="00FF4C55" w:rsidRDefault="004065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28F30AFE" w:rsidR="00FD0711" w:rsidRPr="00FF4C55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FF4C55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33546997" w:rsidR="00FD0711" w:rsidRPr="00FF4C55" w:rsidRDefault="00D605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r w:rsidR="008D49B5"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A1B42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204311" w:rsidRPr="00FF4C55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 w:rsidRPr="00FF4C55">
              <w:rPr>
                <w:rFonts w:ascii="Times New Roman" w:hAnsi="Times New Roman"/>
                <w:sz w:val="24"/>
                <w:szCs w:val="24"/>
              </w:rPr>
              <w:t>Categoria formativă</w:t>
            </w:r>
            <w:r w:rsidR="00DA31C6"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3CBFC9B5" w:rsidR="00204311" w:rsidRPr="00FF4C55" w:rsidRDefault="009B23A2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204311" w:rsidRPr="00FF4C55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05E588E3" w:rsidR="00204311" w:rsidRPr="00FF4C55" w:rsidRDefault="009403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39F">
              <w:rPr>
                <w:rFonts w:ascii="Times New Roman" w:hAnsi="Times New Roman"/>
                <w:sz w:val="24"/>
                <w:szCs w:val="24"/>
              </w:rPr>
              <w:t>P.M.23.F.1.I.Ob.14.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12C41921" w:rsidR="00FD0711" w:rsidRPr="00FF4C55" w:rsidRDefault="00FF4C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5A7AA0D7" w:rsidR="00FD0711" w:rsidRPr="00FF4C55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</w:tcPr>
          <w:p w14:paraId="7625568D" w14:textId="5185F42A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</w:t>
            </w:r>
            <w:r w:rsidR="00FF4C55" w:rsidRPr="00FF4C55"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555" w:type="dxa"/>
          </w:tcPr>
          <w:p w14:paraId="11765071" w14:textId="1FE162A1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4C1D780A" w:rsidR="00FD0711" w:rsidRPr="00FF4C55" w:rsidRDefault="00FF4C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37EFB0B0" w:rsidR="00FD0711" w:rsidRPr="00FF4C55" w:rsidRDefault="00E85C5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29" w:type="dxa"/>
            <w:shd w:val="clear" w:color="auto" w:fill="D9D9D9"/>
          </w:tcPr>
          <w:p w14:paraId="5C2D0A56" w14:textId="15617C90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3.6 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7A962A0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16B43C64" w:rsidR="0065472F" w:rsidRPr="008C3D44" w:rsidRDefault="0094039F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010E21DA" w:rsidR="00FD0711" w:rsidRPr="008C3D44" w:rsidRDefault="00FF4C55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4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5CB9EBF8" w:rsidR="00FD0711" w:rsidRPr="008C3D44" w:rsidRDefault="00FF4C55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561228DF" w:rsidR="00FD0711" w:rsidRPr="00C17415" w:rsidRDefault="009403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447D457F" w:rsidR="00FD0711" w:rsidRPr="00C17415" w:rsidRDefault="009403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786378B0" w:rsidR="00FD0711" w:rsidRPr="007F393B" w:rsidRDefault="009403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7"/>
        <w:gridCol w:w="5071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lastRenderedPageBreak/>
              <w:t>4.1 de curriculum</w:t>
            </w:r>
          </w:p>
        </w:tc>
        <w:tc>
          <w:tcPr>
            <w:tcW w:w="5228" w:type="dxa"/>
          </w:tcPr>
          <w:p w14:paraId="5392D024" w14:textId="501B03E7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Parcurgerea și/sau promovarea următoare</w:t>
            </w:r>
            <w:r w:rsidR="00C17415" w:rsidRPr="00C174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C17415">
              <w:rPr>
                <w:rFonts w:ascii="Times New Roman" w:hAnsi="Times New Roman"/>
                <w:sz w:val="24"/>
                <w:szCs w:val="24"/>
              </w:rPr>
              <w:t xml:space="preserve">discipline: </w:t>
            </w:r>
            <w:r w:rsidR="00587222" w:rsidRPr="00587222">
              <w:rPr>
                <w:rFonts w:ascii="Times New Roman" w:hAnsi="Times New Roman"/>
                <w:i/>
                <w:iCs/>
                <w:sz w:val="24"/>
                <w:szCs w:val="24"/>
              </w:rPr>
              <w:t>Teoria și practica traducerii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25E75C8F" w:rsidR="008421F0" w:rsidRPr="00C17415" w:rsidRDefault="00587222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7222">
              <w:rPr>
                <w:rFonts w:ascii="Times New Roman" w:hAnsi="Times New Roman"/>
                <w:sz w:val="24"/>
                <w:szCs w:val="24"/>
              </w:rPr>
              <w:t>Competențe minimale dobândite în domeniul teoriei și practicii traducerii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415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E97E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0" w:name="_Hlk139278969"/>
    </w:p>
    <w:p w14:paraId="688950FA" w14:textId="4AB78D3F" w:rsidR="00E97EE0" w:rsidRPr="0094039F" w:rsidRDefault="00E97EE0" w:rsidP="00E97EE0">
      <w:pPr>
        <w:spacing w:after="0" w:line="240" w:lineRule="auto"/>
        <w:rPr>
          <w:rFonts w:ascii="Times New Roman" w:hAnsi="Times New Roman"/>
          <w:i/>
          <w:iCs/>
        </w:rPr>
      </w:pPr>
      <w:r w:rsidRPr="00E97EE0"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 w:rsidRPr="00E97EE0">
        <w:rPr>
          <w:rFonts w:ascii="Times New Roman" w:hAnsi="Times New Roman"/>
          <w:i/>
          <w:iCs/>
          <w:sz w:val="24"/>
          <w:szCs w:val="24"/>
        </w:rPr>
        <w:t>Filologie</w:t>
      </w:r>
      <w:r>
        <w:rPr>
          <w:rFonts w:ascii="Times New Roman" w:hAnsi="Times New Roman"/>
          <w:sz w:val="24"/>
          <w:szCs w:val="24"/>
        </w:rPr>
        <w:t xml:space="preserve">, programul de studii </w:t>
      </w:r>
      <w:r w:rsidR="0094039F" w:rsidRPr="00141A34">
        <w:rPr>
          <w:rFonts w:ascii="Times New Roman" w:hAnsi="Times New Roman"/>
          <w:i/>
          <w:iCs/>
          <w:sz w:val="24"/>
          <w:szCs w:val="24"/>
        </w:rPr>
        <w:t>Limbaje specializate și traducere asistată de calculator</w:t>
      </w:r>
      <w:r w:rsidR="0094039F">
        <w:rPr>
          <w:rFonts w:ascii="Times New Roman" w:hAnsi="Times New Roman"/>
          <w:i/>
          <w:iCs/>
        </w:rPr>
        <w:t xml:space="preserve"> </w:t>
      </w:r>
      <w:r w:rsidRPr="00E97EE0">
        <w:rPr>
          <w:rFonts w:ascii="Times New Roman" w:hAnsi="Times New Roman"/>
          <w:sz w:val="24"/>
          <w:szCs w:val="24"/>
        </w:rPr>
        <w:t xml:space="preserve">și are următorul obiectiv </w:t>
      </w:r>
      <w:r w:rsidRPr="00662824">
        <w:rPr>
          <w:rFonts w:ascii="Times New Roman" w:hAnsi="Times New Roman"/>
          <w:b/>
          <w:bCs/>
          <w:sz w:val="24"/>
          <w:szCs w:val="24"/>
        </w:rPr>
        <w:t>general</w:t>
      </w:r>
      <w:r w:rsidRPr="00E97EE0">
        <w:rPr>
          <w:rFonts w:ascii="Times New Roman" w:hAnsi="Times New Roman"/>
          <w:sz w:val="24"/>
          <w:szCs w:val="24"/>
        </w:rPr>
        <w:t xml:space="preserve"> : </w:t>
      </w:r>
    </w:p>
    <w:p w14:paraId="5B89B2EE" w14:textId="0F76178A" w:rsidR="00B34B0F" w:rsidRDefault="00662824" w:rsidP="005872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87222" w:rsidRPr="00587222">
        <w:rPr>
          <w:rFonts w:ascii="Times New Roman" w:hAnsi="Times New Roman"/>
          <w:sz w:val="24"/>
          <w:szCs w:val="24"/>
        </w:rPr>
        <w:t>Aprofundarea noțiunilor legate de analiza și tehnicile traducerii textelor multimedia</w:t>
      </w:r>
    </w:p>
    <w:p w14:paraId="64ED8EE5" w14:textId="52D9C166" w:rsidR="00587222" w:rsidRDefault="00587222" w:rsidP="005872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06156643" w:rsidR="00662824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b/>
          <w:bCs/>
          <w:sz w:val="24"/>
          <w:szCs w:val="24"/>
        </w:rPr>
        <w:t>Obiective specifice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7189300D" w14:textId="4A8E4C91" w:rsidR="00587222" w:rsidRDefault="00662824" w:rsidP="005872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sz w:val="24"/>
          <w:szCs w:val="24"/>
        </w:rPr>
        <w:t xml:space="preserve">- </w:t>
      </w:r>
      <w:bookmarkEnd w:id="0"/>
      <w:r w:rsidR="00587222" w:rsidRPr="00587222">
        <w:rPr>
          <w:rFonts w:ascii="Times New Roman" w:hAnsi="Times New Roman"/>
          <w:sz w:val="24"/>
          <w:szCs w:val="24"/>
        </w:rPr>
        <w:t>Familiarizarea cu tipurile de traducere multimedia: subtitrare, dublaj, voice-over, audiodescriere, localizare de jocuri video etc.</w:t>
      </w:r>
      <w:r w:rsidR="00DB363F">
        <w:rPr>
          <w:rFonts w:ascii="Times New Roman" w:hAnsi="Times New Roman"/>
          <w:sz w:val="24"/>
          <w:szCs w:val="24"/>
        </w:rPr>
        <w:t>;</w:t>
      </w:r>
    </w:p>
    <w:p w14:paraId="40A3F84B" w14:textId="1A5F5459" w:rsidR="00587222" w:rsidRPr="00DB363F" w:rsidRDefault="00587222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DB363F">
        <w:rPr>
          <w:rFonts w:ascii="Times New Roman" w:hAnsi="Times New Roman"/>
          <w:bCs/>
          <w:sz w:val="24"/>
          <w:szCs w:val="24"/>
        </w:rPr>
        <w:t>Înțelegerea constrângerilor tehnice și culturale specifice fiecărui tip de produs multimedia</w:t>
      </w:r>
      <w:r w:rsidR="00DB363F" w:rsidRPr="00DB363F">
        <w:rPr>
          <w:rFonts w:ascii="Times New Roman" w:hAnsi="Times New Roman"/>
          <w:bCs/>
          <w:sz w:val="24"/>
          <w:szCs w:val="24"/>
        </w:rPr>
        <w:t>;</w:t>
      </w:r>
    </w:p>
    <w:p w14:paraId="11D9FB20" w14:textId="231F121E" w:rsidR="00DB363F" w:rsidRPr="00DB363F" w:rsidRDefault="00DB363F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363F">
        <w:rPr>
          <w:rFonts w:ascii="Times New Roman" w:hAnsi="Times New Roman"/>
          <w:bCs/>
          <w:sz w:val="24"/>
          <w:szCs w:val="24"/>
        </w:rPr>
        <w:t>- Identificarea strategiilor traductive potrivite în funcție de public, suport și gen (ex: filme artistice, documentare, desene animate, jocuri video</w:t>
      </w:r>
      <w:r>
        <w:rPr>
          <w:rFonts w:ascii="Times New Roman" w:hAnsi="Times New Roman"/>
          <w:bCs/>
          <w:sz w:val="24"/>
          <w:szCs w:val="24"/>
        </w:rPr>
        <w:t xml:space="preserve"> etc</w:t>
      </w:r>
      <w:r w:rsidRPr="00DB363F">
        <w:rPr>
          <w:rFonts w:ascii="Times New Roman" w:hAnsi="Times New Roman"/>
          <w:bCs/>
          <w:sz w:val="24"/>
          <w:szCs w:val="24"/>
        </w:rPr>
        <w:t>);</w:t>
      </w:r>
    </w:p>
    <w:p w14:paraId="74E83555" w14:textId="60328F73" w:rsidR="00587222" w:rsidRDefault="00DB363F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DB363F">
        <w:rPr>
          <w:rFonts w:ascii="Times New Roman" w:hAnsi="Times New Roman"/>
          <w:bCs/>
          <w:sz w:val="24"/>
          <w:szCs w:val="24"/>
        </w:rPr>
        <w:t>Analiza relației dintre imagine, sunet și text în construirea sensului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789DA542" w14:textId="10DC37EB" w:rsidR="00DB363F" w:rsidRDefault="00DB363F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DB363F">
        <w:rPr>
          <w:rFonts w:ascii="Times New Roman" w:hAnsi="Times New Roman"/>
          <w:bCs/>
          <w:sz w:val="24"/>
          <w:szCs w:val="24"/>
        </w:rPr>
        <w:t>Înțelegerea proceselor de mediere culturală implicate în traducere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A1617DB" w14:textId="77777777" w:rsidR="00DB363F" w:rsidRPr="00DB363F" w:rsidRDefault="00DB363F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12379C1" w14:textId="2CA9B153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51F0D7F1" w14:textId="77777777" w:rsidR="00141A34" w:rsidRDefault="00B34B0F" w:rsidP="00DB363F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B363F" w:rsidRPr="00587222">
        <w:rPr>
          <w:rFonts w:ascii="Times New Roman" w:hAnsi="Times New Roman"/>
          <w:i/>
          <w:iCs/>
        </w:rPr>
        <w:t>Tehnicile traducerii multimedia. Analiza și mizele comunicării</w:t>
      </w:r>
      <w:r>
        <w:rPr>
          <w:rFonts w:ascii="Times New Roman" w:hAnsi="Times New Roman"/>
          <w:i/>
          <w:iCs/>
        </w:rPr>
        <w:t xml:space="preserve"> </w:t>
      </w:r>
    </w:p>
    <w:p w14:paraId="0676CB2A" w14:textId="634A48DC" w:rsidR="00141A34" w:rsidRPr="00141A34" w:rsidRDefault="00141A34" w:rsidP="00141A34">
      <w:pPr>
        <w:pStyle w:val="ListParagraph"/>
        <w:ind w:left="283"/>
        <w:rPr>
          <w:rFonts w:ascii="Times New Roman" w:hAnsi="Times New Roman"/>
          <w:sz w:val="24"/>
          <w:szCs w:val="24"/>
        </w:rPr>
      </w:pPr>
      <w:r w:rsidRPr="00141A34">
        <w:rPr>
          <w:rFonts w:ascii="Times New Roman" w:hAnsi="Times New Roman"/>
          <w:b/>
          <w:bCs/>
          <w:sz w:val="24"/>
          <w:szCs w:val="24"/>
        </w:rPr>
        <w:t>CP1</w:t>
      </w:r>
      <w:r w:rsidRPr="00141A34">
        <w:rPr>
          <w:rFonts w:ascii="Times New Roman" w:hAnsi="Times New Roman"/>
          <w:sz w:val="24"/>
          <w:szCs w:val="24"/>
        </w:rPr>
        <w:t>. Traduce diferite tipuri de texte</w:t>
      </w:r>
      <w:r w:rsidRPr="00141A34">
        <w:rPr>
          <w:rFonts w:ascii="Times New Roman" w:hAnsi="Times New Roman"/>
          <w:sz w:val="24"/>
          <w:szCs w:val="24"/>
        </w:rPr>
        <w:t>.</w:t>
      </w:r>
      <w:r w:rsidR="00283B63">
        <w:rPr>
          <w:rFonts w:ascii="Times New Roman" w:hAnsi="Times New Roman"/>
          <w:sz w:val="24"/>
          <w:szCs w:val="24"/>
        </w:rPr>
        <w:t xml:space="preserve"> (1 ECTS)</w:t>
      </w:r>
    </w:p>
    <w:p w14:paraId="165CCBD3" w14:textId="78F2E1ED" w:rsidR="00141A34" w:rsidRPr="00141A34" w:rsidRDefault="00141A34" w:rsidP="00141A34">
      <w:pPr>
        <w:pStyle w:val="ListParagraph"/>
        <w:ind w:left="283"/>
        <w:rPr>
          <w:rFonts w:ascii="Times New Roman" w:hAnsi="Times New Roman"/>
          <w:sz w:val="24"/>
          <w:szCs w:val="24"/>
        </w:rPr>
      </w:pPr>
      <w:r w:rsidRPr="00141A34">
        <w:rPr>
          <w:rFonts w:ascii="Times New Roman" w:hAnsi="Times New Roman"/>
          <w:b/>
          <w:bCs/>
          <w:sz w:val="24"/>
          <w:szCs w:val="24"/>
        </w:rPr>
        <w:t>CP2</w:t>
      </w:r>
      <w:r w:rsidRPr="00141A34">
        <w:rPr>
          <w:rFonts w:ascii="Times New Roman" w:hAnsi="Times New Roman"/>
          <w:sz w:val="24"/>
          <w:szCs w:val="24"/>
        </w:rPr>
        <w:t>. Traduce texte</w:t>
      </w:r>
      <w:r w:rsidRPr="00141A34">
        <w:rPr>
          <w:rFonts w:ascii="Times New Roman" w:hAnsi="Times New Roman"/>
          <w:sz w:val="24"/>
          <w:szCs w:val="24"/>
        </w:rPr>
        <w:t>.</w:t>
      </w:r>
      <w:r w:rsidR="00283B63">
        <w:rPr>
          <w:rFonts w:ascii="Times New Roman" w:hAnsi="Times New Roman"/>
          <w:sz w:val="24"/>
          <w:szCs w:val="24"/>
        </w:rPr>
        <w:t xml:space="preserve"> (2 ECTS)</w:t>
      </w:r>
    </w:p>
    <w:p w14:paraId="3CEF73AA" w14:textId="50E51A73" w:rsidR="00141A34" w:rsidRPr="00141A34" w:rsidRDefault="00141A34" w:rsidP="00141A34">
      <w:pPr>
        <w:pStyle w:val="ListParagraph"/>
        <w:ind w:left="283"/>
        <w:rPr>
          <w:rFonts w:ascii="Times New Roman" w:hAnsi="Times New Roman"/>
          <w:sz w:val="24"/>
          <w:szCs w:val="24"/>
        </w:rPr>
      </w:pPr>
      <w:r w:rsidRPr="00141A34">
        <w:rPr>
          <w:rFonts w:ascii="Times New Roman" w:hAnsi="Times New Roman"/>
          <w:b/>
          <w:bCs/>
          <w:sz w:val="24"/>
          <w:szCs w:val="24"/>
        </w:rPr>
        <w:t>CP3</w:t>
      </w:r>
      <w:r w:rsidRPr="00141A34">
        <w:rPr>
          <w:rFonts w:ascii="Times New Roman" w:hAnsi="Times New Roman"/>
          <w:sz w:val="24"/>
          <w:szCs w:val="24"/>
        </w:rPr>
        <w:t>. Dezvolta o strategie de traducere</w:t>
      </w:r>
      <w:r w:rsidR="00283B63">
        <w:rPr>
          <w:rFonts w:ascii="Times New Roman" w:hAnsi="Times New Roman"/>
          <w:sz w:val="24"/>
          <w:szCs w:val="24"/>
        </w:rPr>
        <w:t>. (1 ECTS)</w:t>
      </w:r>
    </w:p>
    <w:p w14:paraId="14A68185" w14:textId="1F990FEB" w:rsidR="00B34B0F" w:rsidRPr="00141A34" w:rsidRDefault="00B34B0F" w:rsidP="00DB363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41A34">
        <w:rPr>
          <w:rFonts w:ascii="Times New Roman" w:hAnsi="Times New Roman"/>
          <w:sz w:val="24"/>
          <w:szCs w:val="24"/>
        </w:rPr>
        <w:t>sunt corelate cu următoarele rezultate ale învățării.</w:t>
      </w:r>
    </w:p>
    <w:p w14:paraId="2C91ECBA" w14:textId="77777777" w:rsidR="00DB363F" w:rsidRPr="00240704" w:rsidRDefault="00DB363F" w:rsidP="0024070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"/>
        <w:gridCol w:w="9165"/>
      </w:tblGrid>
      <w:tr w:rsidR="00FD0711" w:rsidRPr="0007194F" w14:paraId="44888664" w14:textId="77777777" w:rsidTr="009B23A2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181503E4" w:rsidR="00FD0711" w:rsidRPr="0015322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322F">
              <w:rPr>
                <w:rFonts w:ascii="Times New Roman" w:hAnsi="Times New Roman"/>
                <w:b/>
              </w:rPr>
              <w:t>Cuno</w:t>
            </w:r>
            <w:r w:rsidR="001B1709" w:rsidRPr="0015322F">
              <w:rPr>
                <w:rFonts w:ascii="Times New Roman" w:hAnsi="Times New Roman"/>
                <w:b/>
              </w:rPr>
              <w:t>ș</w:t>
            </w:r>
            <w:r w:rsidRPr="0015322F">
              <w:rPr>
                <w:rFonts w:ascii="Times New Roman" w:hAnsi="Times New Roman"/>
                <w:b/>
              </w:rPr>
              <w:t>tin</w:t>
            </w:r>
            <w:r w:rsidR="001B1709" w:rsidRPr="0015322F">
              <w:rPr>
                <w:rFonts w:ascii="Times New Roman" w:hAnsi="Times New Roman"/>
                <w:b/>
              </w:rPr>
              <w:t>ț</w:t>
            </w:r>
            <w:r w:rsidRPr="0015322F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462" w:type="dxa"/>
          </w:tcPr>
          <w:p w14:paraId="7CC00328" w14:textId="77777777" w:rsidR="00DB363F" w:rsidRPr="0015322F" w:rsidRDefault="00141A34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322F">
              <w:rPr>
                <w:rFonts w:ascii="Times New Roman" w:hAnsi="Times New Roman"/>
                <w:b/>
                <w:bCs/>
              </w:rPr>
              <w:t>C1</w:t>
            </w:r>
            <w:r w:rsidRPr="0015322F">
              <w:rPr>
                <w:rFonts w:ascii="Times New Roman" w:hAnsi="Times New Roman"/>
              </w:rPr>
              <w:t>.Studentul/absolventul identifică natura tipului de text care trebuie tradus, de exemplu, documentație comerciala și industrială, documente personale, jurnalism, romane, scriere creativă, certificate, documente guvernamentale și texte științifice.</w:t>
            </w:r>
          </w:p>
          <w:p w14:paraId="11BC2FF8" w14:textId="77777777" w:rsidR="00141A34" w:rsidRPr="0015322F" w:rsidRDefault="00141A34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322F">
              <w:rPr>
                <w:rFonts w:ascii="Times New Roman" w:hAnsi="Times New Roman"/>
                <w:b/>
                <w:bCs/>
              </w:rPr>
              <w:t>C2</w:t>
            </w:r>
            <w:r w:rsidRPr="0015322F">
              <w:rPr>
                <w:rFonts w:ascii="Times New Roman" w:hAnsi="Times New Roman"/>
              </w:rPr>
              <w:t>.Studentul/absolventul enunță tipologii de erori în traducere (adiții, omisiuni, distorsionări de sens) și impactul acestora asupra mesajului original.</w:t>
            </w:r>
          </w:p>
          <w:p w14:paraId="373D44E3" w14:textId="7B8901E0" w:rsidR="00141A34" w:rsidRPr="0015322F" w:rsidRDefault="00141A34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322F">
              <w:rPr>
                <w:rFonts w:ascii="Times New Roman" w:hAnsi="Times New Roman"/>
                <w:b/>
                <w:bCs/>
              </w:rPr>
              <w:t>C3</w:t>
            </w:r>
            <w:r w:rsidRPr="0015322F">
              <w:rPr>
                <w:rFonts w:ascii="Times New Roman" w:hAnsi="Times New Roman"/>
              </w:rPr>
              <w:t>.Studentul/absolventul redă teorii și strategii de traducere, aplicabile în funcție de tipul de problemă (culturală, terminologică, stilistică, pragmatică etc.).</w:t>
            </w:r>
          </w:p>
        </w:tc>
      </w:tr>
      <w:tr w:rsidR="00FD0711" w:rsidRPr="0007194F" w14:paraId="110936E3" w14:textId="77777777" w:rsidTr="009B23A2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79430AB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Abilități</w:t>
            </w:r>
          </w:p>
        </w:tc>
        <w:tc>
          <w:tcPr>
            <w:tcW w:w="9462" w:type="dxa"/>
          </w:tcPr>
          <w:p w14:paraId="3D7B9871" w14:textId="77777777" w:rsidR="009B23A2" w:rsidRPr="0015322F" w:rsidRDefault="009B23A2" w:rsidP="00B73C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3D61F710" w14:textId="77777777" w:rsidR="00DB363F" w:rsidRPr="0015322F" w:rsidRDefault="00141A34" w:rsidP="00141A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322F">
              <w:rPr>
                <w:rFonts w:ascii="Times New Roman" w:hAnsi="Times New Roman"/>
                <w:b/>
                <w:bCs/>
              </w:rPr>
              <w:t xml:space="preserve">A1. </w:t>
            </w:r>
            <w:r w:rsidRPr="0015322F">
              <w:rPr>
                <w:rFonts w:ascii="Times New Roman" w:hAnsi="Times New Roman"/>
              </w:rPr>
              <w:t>Studentul/absolventul adaptează traducerea în funcție de natura textului.</w:t>
            </w:r>
          </w:p>
          <w:p w14:paraId="724FE6A5" w14:textId="77777777" w:rsidR="00141A34" w:rsidRPr="0015322F" w:rsidRDefault="00141A34" w:rsidP="00141A34">
            <w:pPr>
              <w:tabs>
                <w:tab w:val="left" w:pos="2352"/>
              </w:tabs>
              <w:spacing w:after="0"/>
              <w:jc w:val="both"/>
              <w:rPr>
                <w:rFonts w:ascii="Times New Roman" w:hAnsi="Times New Roman"/>
              </w:rPr>
            </w:pPr>
            <w:r w:rsidRPr="0015322F">
              <w:rPr>
                <w:rFonts w:ascii="Times New Roman" w:hAnsi="Times New Roman"/>
                <w:b/>
                <w:bCs/>
              </w:rPr>
              <w:t xml:space="preserve">A2. </w:t>
            </w:r>
            <w:r w:rsidRPr="0015322F">
              <w:rPr>
                <w:rFonts w:ascii="Times New Roman" w:hAnsi="Times New Roman"/>
              </w:rPr>
              <w:t>Studentul/absolventul traduce textul dintr-o limbă în alta, păstrând sensul și nuanțele textului original, fără a adăuga, a modifica sau a omite nimic și evitând exprimarea de sentimente și opinii personale.</w:t>
            </w:r>
          </w:p>
          <w:p w14:paraId="29893D81" w14:textId="5D542AEB" w:rsidR="00141A34" w:rsidRPr="0015322F" w:rsidRDefault="00141A34" w:rsidP="00141A34">
            <w:pPr>
              <w:tabs>
                <w:tab w:val="left" w:pos="2352"/>
              </w:tabs>
              <w:spacing w:after="0"/>
              <w:jc w:val="both"/>
              <w:rPr>
                <w:rFonts w:ascii="Times New Roman" w:hAnsi="Times New Roman"/>
              </w:rPr>
            </w:pPr>
            <w:r w:rsidRPr="0015322F">
              <w:rPr>
                <w:rFonts w:ascii="Times New Roman" w:hAnsi="Times New Roman"/>
                <w:b/>
                <w:bCs/>
              </w:rPr>
              <w:t>A3.</w:t>
            </w:r>
            <w:r w:rsidRPr="0015322F">
              <w:rPr>
                <w:rFonts w:ascii="Times New Roman" w:hAnsi="Times New Roman"/>
              </w:rPr>
              <w:t>Studentul/absolventul efectuează activități de cercetare pentru a înțelege mai bine o problemă de traducere și pentru a elabora strategia de traducere care ar remedia problemele întâmpinate</w:t>
            </w:r>
            <w:r w:rsidRPr="0015322F">
              <w:rPr>
                <w:rFonts w:ascii="Times New Roman" w:hAnsi="Times New Roman"/>
              </w:rPr>
              <w:t>.</w:t>
            </w:r>
          </w:p>
        </w:tc>
      </w:tr>
      <w:tr w:rsidR="002A2A27" w:rsidRPr="0007194F" w14:paraId="22C94215" w14:textId="77777777" w:rsidTr="009B23A2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5DBEA6A9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2E2B9046" w14:textId="584A9A7E" w:rsidR="00141A34" w:rsidRPr="0015322F" w:rsidRDefault="00141A34" w:rsidP="00B73C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5322F">
              <w:rPr>
                <w:rFonts w:ascii="Times New Roman" w:hAnsi="Times New Roman"/>
                <w:b/>
                <w:bCs/>
              </w:rPr>
              <w:t>RA1.</w:t>
            </w:r>
            <w:r w:rsidRPr="0015322F">
              <w:rPr>
                <w:rFonts w:ascii="Times New Roman" w:hAnsi="Times New Roman"/>
              </w:rPr>
              <w:t>Studentul/absolventul dă dovadă de discernământ și autonomie profesională în alegerea strategiilor de traducere adecvate tipului de text și scopului comunicativ.</w:t>
            </w:r>
          </w:p>
          <w:p w14:paraId="2AB8107F" w14:textId="1C381287" w:rsidR="00141A34" w:rsidRPr="0015322F" w:rsidRDefault="00141A34" w:rsidP="00B73C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5322F">
              <w:rPr>
                <w:rFonts w:ascii="Times New Roman" w:hAnsi="Times New Roman"/>
                <w:b/>
                <w:bCs/>
              </w:rPr>
              <w:t xml:space="preserve">RA2. </w:t>
            </w:r>
            <w:r w:rsidRPr="0015322F">
              <w:rPr>
                <w:rFonts w:ascii="Times New Roman" w:hAnsi="Times New Roman"/>
              </w:rPr>
              <w:t>Studentul/absolventul acționează cu integritate profesională, evitând intervențiile subiective în traducere și asumându-și deciziile de traducere în acord cu sensul și intenția autorului.</w:t>
            </w:r>
          </w:p>
          <w:p w14:paraId="4E90C458" w14:textId="0DF92974" w:rsidR="00DB363F" w:rsidRPr="0015322F" w:rsidRDefault="00141A34" w:rsidP="00B73C8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15322F">
              <w:rPr>
                <w:rFonts w:ascii="Times New Roman" w:hAnsi="Times New Roman"/>
                <w:b/>
                <w:bCs/>
              </w:rPr>
              <w:t>RA3.</w:t>
            </w:r>
            <w:r w:rsidRPr="0015322F">
              <w:rPr>
                <w:rFonts w:ascii="Times New Roman" w:hAnsi="Times New Roman"/>
              </w:rPr>
              <w:t>Studentul/absolventul demonstrează autonomie în identificarea și investigarea problemelor de traducere, asumându-și responsabilitatea alegerii și aplicării unor strategii adecvate, bazate pe cercetare și argumentare profesională</w:t>
            </w:r>
            <w:r w:rsidRPr="0015322F">
              <w:rPr>
                <w:rFonts w:ascii="Times New Roman" w:hAnsi="Times New Roman"/>
              </w:rPr>
              <w:t>.</w:t>
            </w:r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49499AC" w14:textId="17CBF9DA" w:rsidR="00DB363F" w:rsidRPr="00DB363F" w:rsidRDefault="00DB363F" w:rsidP="00DB363F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DB363F">
        <w:rPr>
          <w:rFonts w:ascii="Times New Roman" w:hAnsi="Times New Roman"/>
          <w:sz w:val="24"/>
          <w:szCs w:val="24"/>
          <w:lang w:val="es-ES_tradnl"/>
        </w:rPr>
        <w:t>Procesul didactic va integra o varietate de metode de predare, adaptate specificului interdisciplinar al traducerii multimedia. Se vor utiliza atât metode expozitive (precum prelegerea și prezentarea teoretică a conceptelor), cât și metode conversative și interactive, menite să încurajeze învățarea activă și explorarea critică a conținuturilor. Activitățile vor include: analiza și interpretarea produselor multimedia traduse;</w:t>
      </w:r>
      <w:r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B363F">
        <w:rPr>
          <w:rFonts w:ascii="Times New Roman" w:hAnsi="Times New Roman"/>
          <w:sz w:val="24"/>
          <w:szCs w:val="24"/>
          <w:lang w:val="es-ES_tradnl"/>
        </w:rPr>
        <w:t>explorarea directă și asistată a aplicațiilor informatice specifice subtitrării, dublajului sau localizării;  precum și metode centrate pe acțiune, cum ar fi exercițiile aplicative, proiectele practice, studiile de caz și rezolvarea de situații complexe, individual sau în echipă.</w:t>
      </w:r>
    </w:p>
    <w:p w14:paraId="63D84C40" w14:textId="12601FF6" w:rsidR="00DB363F" w:rsidRPr="008D4F5A" w:rsidRDefault="00DB363F" w:rsidP="00DB3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8D4F5A">
        <w:rPr>
          <w:rFonts w:ascii="Times New Roman" w:hAnsi="Times New Roman"/>
          <w:sz w:val="24"/>
          <w:szCs w:val="24"/>
          <w:lang w:val="es-ES_tradnl"/>
        </w:rPr>
        <w:t>Predarea va fi susținută prin prezentări PowerPoint, materiale video autentice (fragmente de film, jocuri video, spoturi publicitare, platforme media), precum și prin instrucțiuni detaliate privind utilizarea software-urilor dedicate (ex. Aegisub) care vor fi puse la dispoziția studenților pentru activitățile practice.</w:t>
      </w:r>
    </w:p>
    <w:p w14:paraId="7BF21B3F" w14:textId="77777777" w:rsidR="00DB363F" w:rsidRPr="008D4F5A" w:rsidRDefault="00DB363F" w:rsidP="00DB3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8D4F5A">
        <w:rPr>
          <w:rFonts w:ascii="Times New Roman" w:hAnsi="Times New Roman"/>
          <w:sz w:val="24"/>
          <w:szCs w:val="24"/>
          <w:lang w:val="es-ES_tradnl"/>
        </w:rPr>
        <w:t>Fiecare curs va debuta cu o scurtă recapitulare a noțiunilor abordate anterior, punându-se accent pe conexiunile dintre conceptele teoretice discutate și aplicabilitatea lor practică în traducerea multimedia și în analiza comunicării vizual-auditive.</w:t>
      </w:r>
    </w:p>
    <w:p w14:paraId="5947D826" w14:textId="77777777" w:rsidR="008E4BB6" w:rsidRPr="008E4BB6" w:rsidRDefault="008E4BB6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70073AA0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9E7E85" w:rsidRPr="009E7E85" w14:paraId="2FAF5653" w14:textId="77777777" w:rsidTr="00332EFF">
        <w:trPr>
          <w:jc w:val="center"/>
        </w:trPr>
        <w:tc>
          <w:tcPr>
            <w:tcW w:w="1271" w:type="dxa"/>
            <w:vAlign w:val="center"/>
          </w:tcPr>
          <w:p w14:paraId="70FBC42F" w14:textId="050B956A" w:rsidR="009E7E85" w:rsidRPr="009E7E85" w:rsidRDefault="009E7E85" w:rsidP="009E7E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5A240DB" w14:textId="31CB9B2E" w:rsidR="009E7E85" w:rsidRPr="009E7E85" w:rsidRDefault="009E7E85" w:rsidP="009E7E8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Introducere în traducerea multimedia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. Istoria traducerii audiovizuale. Discurs multimedia, traducere multimedia/audiovizuală.</w:t>
            </w:r>
          </w:p>
        </w:tc>
        <w:tc>
          <w:tcPr>
            <w:tcW w:w="857" w:type="dxa"/>
          </w:tcPr>
          <w:p w14:paraId="3C9EB5C0" w14:textId="5D6A7C35" w:rsidR="009E7E85" w:rsidRPr="009E7E85" w:rsidRDefault="009E7E85" w:rsidP="009E7E8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7E85" w:rsidRPr="009E7E85" w14:paraId="18ABA96D" w14:textId="77777777" w:rsidTr="00332EFF">
        <w:trPr>
          <w:jc w:val="center"/>
        </w:trPr>
        <w:tc>
          <w:tcPr>
            <w:tcW w:w="1271" w:type="dxa"/>
            <w:vAlign w:val="center"/>
          </w:tcPr>
          <w:p w14:paraId="748F843E" w14:textId="247DB6A0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0D13369" w14:textId="6B0D1052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</w:rPr>
              <w:t>Perspective teoretice în traducerea audiovizuală (I):</w:t>
            </w:r>
            <w:r w:rsidRPr="009E7E85">
              <w:rPr>
                <w:rFonts w:ascii="Times New Roman" w:hAnsi="Times New Roman"/>
                <w:bCs/>
                <w:sz w:val="20"/>
                <w:szCs w:val="20"/>
              </w:rPr>
              <w:t xml:space="preserve"> abordări naratologice, pragmatice, discursive, ale traducerii audiovizuale</w:t>
            </w:r>
          </w:p>
        </w:tc>
        <w:tc>
          <w:tcPr>
            <w:tcW w:w="857" w:type="dxa"/>
          </w:tcPr>
          <w:p w14:paraId="34AE2AC5" w14:textId="592BEB53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389DF12A" w14:textId="77777777" w:rsidTr="00332EFF">
        <w:trPr>
          <w:jc w:val="center"/>
        </w:trPr>
        <w:tc>
          <w:tcPr>
            <w:tcW w:w="1271" w:type="dxa"/>
            <w:vAlign w:val="center"/>
          </w:tcPr>
          <w:p w14:paraId="0C8F769E" w14:textId="64E74B94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76C651D4" w14:textId="6F38071B" w:rsidR="009E7E85" w:rsidRPr="009E7E85" w:rsidRDefault="009E7E85" w:rsidP="009E7E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</w:rPr>
              <w:t>Perspective teoretice în traducerea audiovizuală (II):</w:t>
            </w:r>
            <w:r w:rsidRPr="009E7E85">
              <w:rPr>
                <w:rFonts w:ascii="Times New Roman" w:hAnsi="Times New Roman"/>
                <w:bCs/>
                <w:sz w:val="20"/>
                <w:szCs w:val="20"/>
              </w:rPr>
              <w:t xml:space="preserve"> Discurs vorbit, interacțiuni verbale, varietate lingvistică, dimensiunea culturală în traducerea audiovizuală</w:t>
            </w:r>
          </w:p>
        </w:tc>
        <w:tc>
          <w:tcPr>
            <w:tcW w:w="857" w:type="dxa"/>
          </w:tcPr>
          <w:p w14:paraId="313E2854" w14:textId="04EFA27A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2CC7EA92" w14:textId="77777777" w:rsidTr="00332EFF">
        <w:trPr>
          <w:jc w:val="center"/>
        </w:trPr>
        <w:tc>
          <w:tcPr>
            <w:tcW w:w="1271" w:type="dxa"/>
            <w:vAlign w:val="center"/>
          </w:tcPr>
          <w:p w14:paraId="1E399926" w14:textId="3388CF94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22B505D2" w14:textId="5375979C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Metode de traducere audiovizuală (I)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: dublarea, subtitrarea, supratitrarea, subtitrarea pentru persoanele cu deficiențe de auz.</w:t>
            </w:r>
          </w:p>
        </w:tc>
        <w:tc>
          <w:tcPr>
            <w:tcW w:w="857" w:type="dxa"/>
          </w:tcPr>
          <w:p w14:paraId="15AD19EA" w14:textId="7838D532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0CBD9111" w14:textId="77777777" w:rsidTr="00332EFF">
        <w:trPr>
          <w:jc w:val="center"/>
        </w:trPr>
        <w:tc>
          <w:tcPr>
            <w:tcW w:w="1271" w:type="dxa"/>
            <w:vAlign w:val="center"/>
          </w:tcPr>
          <w:p w14:paraId="0C7E9E3C" w14:textId="22901F68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70892A4D" w14:textId="61461ECD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Metode de traducere audiovizuală (II):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 xml:space="preserve"> voice over, suprapunerea de voici, descrierea audio, localizarea.</w:t>
            </w:r>
          </w:p>
        </w:tc>
        <w:tc>
          <w:tcPr>
            <w:tcW w:w="857" w:type="dxa"/>
          </w:tcPr>
          <w:p w14:paraId="5928C940" w14:textId="3757C5D1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63209E08" w14:textId="77777777" w:rsidTr="00856F41">
        <w:trPr>
          <w:jc w:val="center"/>
        </w:trPr>
        <w:tc>
          <w:tcPr>
            <w:tcW w:w="1271" w:type="dxa"/>
            <w:vAlign w:val="center"/>
          </w:tcPr>
          <w:p w14:paraId="2277214C" w14:textId="23804343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4F452B76" w14:textId="5A188439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</w:rPr>
              <w:t>Instrumente digitale de traducere multimedia și generatoare de subtitrare/sublare AI</w:t>
            </w:r>
            <w:r w:rsidRPr="009E7E85">
              <w:rPr>
                <w:rFonts w:ascii="Times New Roman" w:hAnsi="Times New Roman"/>
                <w:bCs/>
                <w:sz w:val="20"/>
                <w:szCs w:val="20"/>
              </w:rPr>
              <w:t>: Aegisub, CapCut, Clipchamp, Kapwing, Speechfy, Voicemaker, Translate.video etc.</w:t>
            </w:r>
          </w:p>
        </w:tc>
        <w:tc>
          <w:tcPr>
            <w:tcW w:w="857" w:type="dxa"/>
          </w:tcPr>
          <w:p w14:paraId="2BA13951" w14:textId="3D4CB712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7E85" w:rsidRPr="009E7E85" w14:paraId="55E80252" w14:textId="77777777" w:rsidTr="00856F41">
        <w:trPr>
          <w:jc w:val="center"/>
        </w:trPr>
        <w:tc>
          <w:tcPr>
            <w:tcW w:w="1271" w:type="dxa"/>
            <w:vAlign w:val="center"/>
          </w:tcPr>
          <w:p w14:paraId="7028817C" w14:textId="32D3B6D5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lastRenderedPageBreak/>
              <w:t>VII</w:t>
            </w:r>
          </w:p>
        </w:tc>
        <w:tc>
          <w:tcPr>
            <w:tcW w:w="8399" w:type="dxa"/>
          </w:tcPr>
          <w:p w14:paraId="5CFC67D5" w14:textId="7995722B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Studiu de caz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: traducere filme (televiziune, platforme digitale), spectacole de teatru și operă, emisiuni de televiziune.</w:t>
            </w:r>
          </w:p>
        </w:tc>
        <w:tc>
          <w:tcPr>
            <w:tcW w:w="857" w:type="dxa"/>
          </w:tcPr>
          <w:p w14:paraId="5A2844E6" w14:textId="431806B4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4B32D1F0" w14:textId="77777777" w:rsidTr="00856F41">
        <w:trPr>
          <w:jc w:val="center"/>
        </w:trPr>
        <w:tc>
          <w:tcPr>
            <w:tcW w:w="1271" w:type="dxa"/>
            <w:vAlign w:val="center"/>
          </w:tcPr>
          <w:p w14:paraId="6449DB19" w14:textId="627D1296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8399" w:type="dxa"/>
          </w:tcPr>
          <w:p w14:paraId="0067484B" w14:textId="7549D84D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Studiu de caz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: traducere materiale marketing, website.</w:t>
            </w:r>
          </w:p>
        </w:tc>
        <w:tc>
          <w:tcPr>
            <w:tcW w:w="857" w:type="dxa"/>
          </w:tcPr>
          <w:p w14:paraId="154D228A" w14:textId="0BC60714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7E85" w:rsidRPr="009E7E85" w14:paraId="5A255E93" w14:textId="77777777" w:rsidTr="00856F41">
        <w:trPr>
          <w:jc w:val="center"/>
        </w:trPr>
        <w:tc>
          <w:tcPr>
            <w:tcW w:w="1271" w:type="dxa"/>
            <w:vAlign w:val="center"/>
          </w:tcPr>
          <w:p w14:paraId="7AF09E5E" w14:textId="31278E02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8399" w:type="dxa"/>
          </w:tcPr>
          <w:p w14:paraId="7BF87B99" w14:textId="2CFBE567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Studiu de caz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: traducere conținut e-learning.</w:t>
            </w:r>
          </w:p>
        </w:tc>
        <w:tc>
          <w:tcPr>
            <w:tcW w:w="857" w:type="dxa"/>
          </w:tcPr>
          <w:p w14:paraId="06AA9BBD" w14:textId="470A3C05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7E85" w:rsidRPr="009E7E85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33EF1F6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9E7E85" w:rsidRPr="009E7E85" w:rsidRDefault="009E7E85" w:rsidP="009E7E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77777777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9E7E85" w:rsidRPr="009E7E85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7866CD3E" w14:textId="77777777" w:rsidR="00432273" w:rsidRPr="00D16F17" w:rsidRDefault="00432273" w:rsidP="0043227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</w:t>
            </w: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ADCBF9B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06" w:lineRule="exact"/>
              <w:ind w:left="144" w:right="144"/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Beseghi, M. (2017). </w:t>
            </w:r>
            <w:r w:rsidRPr="009E7E85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Multilingual Films in Translation: A Sociolinguistic and Intercultural Approach</w:t>
            </w:r>
            <w:r w:rsidRPr="009E7E85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. Oxford: Peter Lang.</w:t>
            </w:r>
          </w:p>
          <w:p w14:paraId="21AF6F5B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06" w:lineRule="exact"/>
              <w:ind w:left="144" w:right="144"/>
              <w:rPr>
                <w:rFonts w:ascii="Times New Roman" w:hAnsi="Times New Roman"/>
                <w:b/>
                <w:bCs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Chaume, F. (2018). An Overview of Audiovisual Translation: Four Methodological Turns in a Mature Discipline. </w:t>
            </w:r>
            <w:r w:rsidRPr="009E7E85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Journal of Audiovisual Translation, 1</w:t>
            </w:r>
            <w:r w:rsidRPr="009E7E85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(1), 40–63.</w:t>
            </w:r>
          </w:p>
          <w:p w14:paraId="624FCBED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06" w:lineRule="exact"/>
              <w:ind w:left="144" w:right="144"/>
              <w:rPr>
                <w:rFonts w:ascii="Times New Roman" w:hAnsi="Times New Roman"/>
                <w:b/>
                <w:bCs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sz w:val="18"/>
                <w:szCs w:val="18"/>
                <w:lang w:eastAsia="ro-RO" w:bidi="ro-RO"/>
              </w:rPr>
              <w:t>Chaume Varela, F. (2012). </w:t>
            </w:r>
            <w:r w:rsidRPr="009E7E85">
              <w:rPr>
                <w:rFonts w:ascii="Times New Roman" w:hAnsi="Times New Roman"/>
                <w:i/>
                <w:iCs/>
                <w:sz w:val="18"/>
                <w:szCs w:val="18"/>
                <w:lang w:eastAsia="ro-RO" w:bidi="ro-RO"/>
              </w:rPr>
              <w:t>Audiovisual Translation: Dubbing</w:t>
            </w:r>
            <w:r w:rsidRPr="009E7E85">
              <w:rPr>
                <w:rFonts w:ascii="Times New Roman" w:hAnsi="Times New Roman"/>
                <w:sz w:val="18"/>
                <w:szCs w:val="18"/>
                <w:lang w:eastAsia="ro-RO" w:bidi="ro-RO"/>
              </w:rPr>
              <w:t>. Manchester: St. Jerome</w:t>
            </w:r>
            <w:r w:rsidRPr="009E7E85">
              <w:rPr>
                <w:rFonts w:ascii="Times New Roman" w:hAnsi="Times New Roman"/>
                <w:b/>
                <w:bCs/>
                <w:sz w:val="18"/>
                <w:szCs w:val="18"/>
                <w:lang w:eastAsia="ro-RO" w:bidi="ro-RO"/>
              </w:rPr>
              <w:t>.</w:t>
            </w:r>
          </w:p>
          <w:p w14:paraId="2A4F231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Davitti, E., Sandrelli, A., Korybski, T., Zou, Y., Orasan, C., &amp; Braun, S. (2024). Using ASR Tools to Produce Automatic Subtitles for TV Broadcasting: A Cross-Linguistic Comparative Analysis 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Journal of Audiovisual Translation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,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7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(2), 1–35. </w:t>
            </w:r>
            <w:hyperlink r:id="rId11" w:history="1">
              <w:r w:rsidRPr="009E7E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shd w:val="clear" w:color="auto" w:fill="FFFFFF"/>
                  <w:lang w:eastAsia="ro-RO" w:bidi="ro-RO"/>
                </w:rPr>
                <w:t>https://doi.org/10.47476/jat.v7i2.2024.305</w:t>
              </w:r>
            </w:hyperlink>
          </w:p>
          <w:p w14:paraId="3901AA41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 xml:space="preserve">Deckert, Mikołaj (ed.). (2019). 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ro-RO" w:bidi="ro-RO"/>
              </w:rPr>
              <w:t>Audiovisual Translation: Research and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 xml:space="preserve"> Use. Berlin: Peter Lang, 2nd expanded edition.</w:t>
            </w:r>
          </w:p>
          <w:p w14:paraId="0FED6059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Di Giovanni, E., &amp; Gambier, Y. (Eds.). (2018).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ro-RO" w:bidi="ro-RO"/>
              </w:rPr>
              <w:t>Reception Studies and Audiovisual Translation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. Amsterdam: John Benjamins.</w:t>
            </w:r>
          </w:p>
          <w:p w14:paraId="2095FCEB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Díaz Cintas, Jorge and Neves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ro-RO" w:bidi="ro-RO"/>
              </w:rPr>
              <w:t>,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 xml:space="preserve"> Josélia (ed) (2015).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ro-RO" w:bidi="ro-RO"/>
              </w:rPr>
              <w:t xml:space="preserve"> 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en-US" w:eastAsia="ro-RO" w:bidi="ro-RO"/>
              </w:rPr>
              <w:t>Audiovisual Translation: Taking Stock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ro-RO" w:bidi="ro-RO"/>
              </w:rPr>
              <w:t xml:space="preserve">. 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Cambridge Scholars Publishing.</w:t>
            </w:r>
          </w:p>
          <w:p w14:paraId="35147AE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Díaz-Cintas, J., &amp; Massidda, S. (2019). Technological Advances in Audiovisual Translation. In M. O’Hagan (Ed.),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ro-RO" w:bidi="ro-RO"/>
              </w:rPr>
              <w:t>The Routledge Handbook of Translation and Technology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 (pp. 255–270). London: Routledge.</w:t>
            </w:r>
          </w:p>
          <w:p w14:paraId="6DBB6D8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Dwyer, T. (2017).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ro-RO" w:bidi="ro-RO"/>
              </w:rPr>
              <w:t>Speaking in Subtitles. Revaluing Screen Translation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. Edinburgh: Edinburgh University Press.</w:t>
            </w:r>
          </w:p>
          <w:p w14:paraId="4A656859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2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eastAsia="Arial Unicode MS" w:hAnsi="Times New Roman"/>
                <w:color w:val="000000" w:themeColor="text1"/>
                <w:kern w:val="36"/>
                <w:sz w:val="18"/>
                <w:szCs w:val="18"/>
                <w:lang w:eastAsia="ro-RO" w:bidi="ro-RO"/>
              </w:rPr>
              <w:t>Gambier</w:t>
            </w:r>
            <w:r w:rsidRPr="009E7E85">
              <w:rPr>
                <w:rFonts w:ascii="Times New Roman" w:eastAsia="Arial Unicode MS" w:hAnsi="Times New Roman"/>
                <w:bCs/>
                <w:color w:val="000000" w:themeColor="text1"/>
                <w:kern w:val="36"/>
                <w:sz w:val="18"/>
                <w:szCs w:val="18"/>
                <w:lang w:eastAsia="ro-RO" w:bidi="ro-RO"/>
              </w:rPr>
              <w:t xml:space="preserve">, Yves, </w:t>
            </w:r>
            <w:r w:rsidRPr="009E7E85">
              <w:rPr>
                <w:rFonts w:ascii="Times New Roman" w:eastAsia="Arial Unicode MS" w:hAnsi="Times New Roman"/>
                <w:color w:val="000000" w:themeColor="text1"/>
                <w:kern w:val="36"/>
                <w:sz w:val="18"/>
                <w:szCs w:val="18"/>
                <w:lang w:eastAsia="ro-RO" w:bidi="ro-RO"/>
              </w:rPr>
              <w:t xml:space="preserve"> van Doorslaer</w:t>
            </w:r>
            <w:r w:rsidRPr="009E7E85">
              <w:rPr>
                <w:rFonts w:ascii="Times New Roman" w:eastAsia="Arial Unicode MS" w:hAnsi="Times New Roman"/>
                <w:bCs/>
                <w:color w:val="000000" w:themeColor="text1"/>
                <w:kern w:val="36"/>
                <w:sz w:val="18"/>
                <w:szCs w:val="18"/>
                <w:lang w:eastAsia="ro-RO" w:bidi="ro-RO"/>
              </w:rPr>
              <w:t xml:space="preserve">, Luc, (2014). </w:t>
            </w:r>
            <w:r w:rsidRPr="009E7E85">
              <w:rPr>
                <w:rFonts w:ascii="Times New Roman" w:eastAsia="Arial Unicode MS" w:hAnsi="Times New Roman"/>
                <w:bCs/>
                <w:i/>
                <w:color w:val="000000" w:themeColor="text1"/>
                <w:kern w:val="36"/>
                <w:sz w:val="18"/>
                <w:szCs w:val="18"/>
                <w:lang w:eastAsia="ro-RO" w:bidi="ro-RO"/>
              </w:rPr>
              <w:t>Handbook of Translation Studies</w:t>
            </w:r>
            <w:r w:rsidRPr="009E7E85">
              <w:rPr>
                <w:rFonts w:ascii="Times New Roman" w:eastAsia="Arial Unicode MS" w:hAnsi="Times New Roman"/>
                <w:bCs/>
                <w:color w:val="000000" w:themeColor="text1"/>
                <w:kern w:val="36"/>
                <w:sz w:val="18"/>
                <w:szCs w:val="18"/>
                <w:lang w:eastAsia="ro-RO" w:bidi="ro-RO"/>
              </w:rPr>
              <w:t xml:space="preserve">, 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John Benjamins.</w:t>
            </w:r>
          </w:p>
          <w:p w14:paraId="2F6100DD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2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Gambier, Y., Caimi, A., &amp; Mariotti, C. (Eds.). (2015).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Subtitles and Language Learning: Principles, Strategies and Practical Experiences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. Bern: Peter Lang.</w:t>
            </w:r>
          </w:p>
          <w:p w14:paraId="376AF2A8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2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Greco, G. M. (2018). The Nature of Accessibility Studies.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Journal of Audiovisual Translation, 1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(1), 205–232.</w:t>
            </w:r>
          </w:p>
          <w:p w14:paraId="1CEBDEBD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o-RO" w:bidi="ro-RO"/>
              </w:rPr>
              <w:t>Holsanova, J., Blomberg, J., Blomberg, F., Gärdenfors, P. ., &amp; Johansson, R. (2023). Event Segmentation in the Audio Description of Films: A Case Study. </w:t>
            </w:r>
            <w:r w:rsidRPr="009E7E8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eastAsia="ro-RO" w:bidi="ro-RO"/>
              </w:rPr>
              <w:t>Journal of Audiovisual Translation</w:t>
            </w:r>
            <w:r w:rsidRPr="009E7E85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o-RO" w:bidi="ro-RO"/>
              </w:rPr>
              <w:t>, 6(1), 64–92. https://doi.org/10.47476/jat.v6i1.2023.245</w:t>
            </w:r>
          </w:p>
          <w:p w14:paraId="1FCCCBFC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Ilinca, Cristina (2015).</w:t>
            </w:r>
            <w:r w:rsidRPr="009E7E8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eastAsia="ro-RO" w:bidi="ro-RO"/>
              </w:rPr>
              <w:t xml:space="preserve"> Rhétorique de la presse écrite. Analyse de l’éditorial politique</w:t>
            </w:r>
            <w:r w:rsidRPr="009E7E85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o-RO" w:bidi="ro-RO"/>
              </w:rPr>
              <w:t>.Craiova, Sitech.</w:t>
            </w:r>
          </w:p>
          <w:p w14:paraId="0EBA356D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Ilinca, Cristina. (2018). </w:t>
            </w:r>
            <w:r w:rsidRPr="009E7E8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Traduction et terminologie: théories, pratiques, formation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, Editura Universitaria Craiova,</w:t>
            </w:r>
          </w:p>
          <w:p w14:paraId="18A056E4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Ilinca, Cristina., (2021). </w:t>
            </w:r>
            <w:r w:rsidRPr="009E7E8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Techniques de la traduction multimédia. Analyse et enjeux de la communication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, note de curs, suport electronic.</w:t>
            </w:r>
          </w:p>
          <w:p w14:paraId="5A32167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Korybski, T., &amp; Davitti, E. (2024). Human Agency in Live Subtitling through Respeaking: Towards a Taxonomy of Effective Editing.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Journal of Audiovisual Translation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,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7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(2), 1–22. </w:t>
            </w:r>
            <w:hyperlink r:id="rId12" w:history="1">
              <w:r w:rsidRPr="009E7E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shd w:val="clear" w:color="auto" w:fill="FFFFFF"/>
                  <w:lang w:eastAsia="ro-RO" w:bidi="ro-RO"/>
                </w:rPr>
                <w:t>https://doi.org/10.47476/jat.v7i2.2024.302</w:t>
              </w:r>
            </w:hyperlink>
          </w:p>
          <w:p w14:paraId="4E947818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Pedersen, J. (2020). ”Audiovisual Translation Norms and Guidelines”. In: Bogucki, Ł., Deckert, M. (eds) The Palgrave Handbook of Audiovisual Translation and Media Accessibility. Palgrave Studies in Translating and Interpreting. Palgrave Macmillan, Cham. </w:t>
            </w:r>
            <w:hyperlink r:id="rId13" w:history="1">
              <w:r w:rsidRPr="009E7E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shd w:val="clear" w:color="auto" w:fill="FFFFFF"/>
                  <w:lang w:eastAsia="ro-RO" w:bidi="ro-RO"/>
                </w:rPr>
                <w:t>https://doi.org/10.1007/978-3-030-42105-2_21</w:t>
              </w:r>
            </w:hyperlink>
          </w:p>
          <w:p w14:paraId="30D018A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Perego, E., Pacinotti, R. (2020). Audiovisual Translation through the Ages. In: Bogucki, Ł., Deckert, M. (eds) The Palgrave Handbook of Audiovisual Translation and Media Accessibility. Palgrave Studies in Translating and Interpreting. Palgrave Macmillan, Cham. https://doi.org/10.1007/978-3-030-42105-2_3</w:t>
            </w:r>
          </w:p>
          <w:p w14:paraId="3A4E494F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en-US" w:eastAsia="ro-RO" w:bidi="ro-RO"/>
              </w:rPr>
            </w:pPr>
            <w:hyperlink r:id="rId14" w:tooltip="Search for more titles by Luis Pérez-González" w:history="1">
              <w:r w:rsidRPr="009E7E85">
                <w:rPr>
                  <w:rFonts w:ascii="Times New Roman" w:hAnsi="Times New Roman"/>
                  <w:color w:val="000000" w:themeColor="text1"/>
                  <w:sz w:val="18"/>
                  <w:szCs w:val="18"/>
                  <w:shd w:val="clear" w:color="auto" w:fill="FFFFFF"/>
                  <w:lang w:eastAsia="ro-RO" w:bidi="ro-RO"/>
                </w:rPr>
                <w:t>Pérez-González</w:t>
              </w:r>
            </w:hyperlink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 </w:t>
            </w:r>
            <w:hyperlink r:id="rId15" w:tooltip="Search for more titles by Luis Pérez-González" w:history="1">
              <w:r w:rsidRPr="009E7E85">
                <w:rPr>
                  <w:rFonts w:ascii="Times New Roman" w:hAnsi="Times New Roman"/>
                  <w:color w:val="000000" w:themeColor="text1"/>
                  <w:sz w:val="18"/>
                  <w:szCs w:val="18"/>
                  <w:shd w:val="clear" w:color="auto" w:fill="FFFFFF"/>
                  <w:lang w:eastAsia="ro-RO" w:bidi="ro-RO"/>
                </w:rPr>
                <w:t>Luis (2019)</w:t>
              </w:r>
            </w:hyperlink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. 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en-US" w:eastAsia="ro-RO" w:bidi="ro-RO"/>
              </w:rPr>
              <w:t>The Routledge Handbook of Audiovisual Translation, Routledge</w:t>
            </w:r>
          </w:p>
          <w:p w14:paraId="685F2D98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Romero-Fresco, P. (2019).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Accessible Filmmaking: Integrating Translation and Accessibility Into the Filmmaking Process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. London: Routledge.</w:t>
            </w:r>
          </w:p>
          <w:p w14:paraId="0F778CF2" w14:textId="26650E84" w:rsidR="00432273" w:rsidRPr="009E7E85" w:rsidRDefault="00432273" w:rsidP="004322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Williamson, L. (2015).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The Social Relevance of Research to Practice: A Study of the Impact of Academic Research on Professional Subtitling Practitioners in Europe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. PhD thesis, Heriot-Watt University, Edinburgh.</w:t>
            </w:r>
          </w:p>
          <w:p w14:paraId="14F5496B" w14:textId="694EE0E8" w:rsidR="009E7E85" w:rsidRPr="009E7E85" w:rsidRDefault="009E7E85" w:rsidP="009E7E85">
            <w:pPr>
              <w:pStyle w:val="TableParagraph"/>
              <w:spacing w:line="206" w:lineRule="exact"/>
              <w:ind w:left="57" w:right="57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</w:tbl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655"/>
        <w:gridCol w:w="1994"/>
        <w:gridCol w:w="1807"/>
      </w:tblGrid>
      <w:tr w:rsidR="002A0FC9" w:rsidRPr="0007194F" w14:paraId="7D21E95E" w14:textId="77777777" w:rsidTr="5B486057">
        <w:tc>
          <w:tcPr>
            <w:tcW w:w="1949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193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03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9E7E85">
        <w:trPr>
          <w:trHeight w:val="231"/>
        </w:trPr>
        <w:tc>
          <w:tcPr>
            <w:tcW w:w="1949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10445613" w14:textId="2D0ED37E" w:rsidR="001232AB" w:rsidRPr="001232AB" w:rsidRDefault="001232AB" w:rsidP="001232AB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232AB">
              <w:rPr>
                <w:sz w:val="20"/>
                <w:szCs w:val="20"/>
              </w:rPr>
              <w:t>capacitatea de asimiliare și aplicare a cunoştinţelor învăţate;</w:t>
            </w:r>
          </w:p>
          <w:p w14:paraId="28A6C37D" w14:textId="471B41FE" w:rsidR="001232AB" w:rsidRPr="001232AB" w:rsidRDefault="001232AB" w:rsidP="001232AB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232AB">
              <w:rPr>
                <w:sz w:val="20"/>
                <w:szCs w:val="20"/>
              </w:rPr>
              <w:t>gradul de asimilare a limbajului de specialitate şi capacitatea de comunicare pe temele cursului;</w:t>
            </w:r>
          </w:p>
          <w:p w14:paraId="1705B273" w14:textId="20A648CF" w:rsidR="006E2D3A" w:rsidRPr="001232AB" w:rsidRDefault="001232AB" w:rsidP="00123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32AB">
              <w:rPr>
                <w:rFonts w:ascii="Times New Roman" w:hAnsi="Times New Roman"/>
                <w:sz w:val="20"/>
                <w:szCs w:val="20"/>
              </w:rPr>
              <w:t>- capacitatea de a opera cu cunoştinţele asimilate în activităţi intelectuale complexe.</w:t>
            </w:r>
          </w:p>
        </w:tc>
        <w:tc>
          <w:tcPr>
            <w:tcW w:w="2193" w:type="dxa"/>
          </w:tcPr>
          <w:p w14:paraId="7A177B41" w14:textId="77777777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Evaluare formativ</w:t>
            </w:r>
            <w:r w:rsidRPr="001232AB"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71E06A31" w14:textId="77777777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- Referat</w:t>
            </w:r>
          </w:p>
          <w:p w14:paraId="4956C420" w14:textId="77777777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-Teme</w:t>
            </w:r>
          </w:p>
          <w:p w14:paraId="509BAC5C" w14:textId="129E3C5F" w:rsidR="002A0FC9" w:rsidRPr="001232AB" w:rsidRDefault="009E7E85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 </w:t>
            </w:r>
            <w:r w:rsidR="001232AB" w:rsidRPr="001232AB">
              <w:rPr>
                <w:rFonts w:ascii="Times New Roman" w:hAnsi="Times New Roman"/>
                <w:sz w:val="20"/>
                <w:szCs w:val="20"/>
                <w:lang w:val="it-IT"/>
              </w:rPr>
              <w:t>Evaluare sumativă (</w:t>
            </w:r>
            <w:r w:rsidR="001232AB" w:rsidRPr="001232AB">
              <w:rPr>
                <w:rFonts w:ascii="Times New Roman" w:hAnsi="Times New Roman"/>
                <w:sz w:val="20"/>
                <w:szCs w:val="20"/>
              </w:rPr>
              <w:t>la încheierea perioadei de studiu al disciplinei de învăţământ) – probă orală</w:t>
            </w:r>
          </w:p>
        </w:tc>
        <w:tc>
          <w:tcPr>
            <w:tcW w:w="2031" w:type="dxa"/>
          </w:tcPr>
          <w:p w14:paraId="14081C62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1F010C7A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D7B1E11" w14:textId="77777777" w:rsidR="00432273" w:rsidRDefault="00432273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04679C0F" w14:textId="505BD159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 w:rsidRPr="001232AB">
              <w:rPr>
                <w:sz w:val="20"/>
                <w:szCs w:val="20"/>
              </w:rPr>
              <w:t>30%</w:t>
            </w:r>
          </w:p>
          <w:p w14:paraId="20CFF99C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15DA9A35" w14:textId="06485ACC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 w:rsidRPr="001232AB">
              <w:rPr>
                <w:sz w:val="20"/>
                <w:szCs w:val="20"/>
              </w:rPr>
              <w:t>20%</w:t>
            </w:r>
          </w:p>
          <w:p w14:paraId="7E5AA3EA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7F30234E" w14:textId="65A7A3AC" w:rsidR="002A0FC9" w:rsidRPr="001232AB" w:rsidRDefault="001232AB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32AB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6E2D3A" w:rsidRPr="0007194F" w14:paraId="53BD5912" w14:textId="77777777" w:rsidTr="5B486057">
        <w:trPr>
          <w:trHeight w:val="135"/>
        </w:trPr>
        <w:tc>
          <w:tcPr>
            <w:tcW w:w="1949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254B2427" w14:textId="04E0E42D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4EB6BEAA" w14:textId="428F6725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4C685E55" w14:textId="77777777" w:rsidTr="5B486057">
        <w:trPr>
          <w:trHeight w:val="135"/>
        </w:trPr>
        <w:tc>
          <w:tcPr>
            <w:tcW w:w="1949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0B021732" w14:textId="4C346979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6A40A0DE" w14:textId="1274E0B1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0FC9" w:rsidRPr="0007194F" w14:paraId="0F7F8DD7" w14:textId="77777777" w:rsidTr="5B486057">
        <w:trPr>
          <w:trHeight w:val="135"/>
        </w:trPr>
        <w:tc>
          <w:tcPr>
            <w:tcW w:w="1949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6CF8B18C" w14:textId="6AF2B3F2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1BC04238" w14:textId="11BF176F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39B929A6" w14:textId="28DCAF82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0FC9" w:rsidRPr="0007194F" w14:paraId="2B4116DF" w14:textId="77777777" w:rsidTr="5B486057">
        <w:trPr>
          <w:trHeight w:val="135"/>
        </w:trPr>
        <w:tc>
          <w:tcPr>
            <w:tcW w:w="1949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D9D9D9" w:themeFill="background1" w:themeFillShade="D9"/>
          </w:tcPr>
          <w:p w14:paraId="2D98452F" w14:textId="7C69163C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45A2E07C" w14:textId="7BEE34B6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148AC8AB" w14:textId="3545D376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60DDCE4D" w14:textId="62212899" w:rsidR="001232AB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 xml:space="preserve">Cunoașterea </w:t>
            </w:r>
            <w:r w:rsidR="009E7E85">
              <w:t>minimală a tehnicilor de s</w:t>
            </w:r>
            <w:r w:rsidR="009E7E85" w:rsidRPr="009E7E85">
              <w:t>ubtitrare, dublaj, analiza mesajului vizual</w:t>
            </w:r>
          </w:p>
          <w:p w14:paraId="0E29AB43" w14:textId="1596A64E" w:rsidR="001232AB" w:rsidRPr="005A7F8C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>Abilitatea de a utiliza un instrument de</w:t>
            </w:r>
            <w:r w:rsidR="009E7E85">
              <w:t xml:space="preserve"> subtitrare (Aegisub)</w:t>
            </w:r>
          </w:p>
          <w:p w14:paraId="0253BF57" w14:textId="2AA46D9A" w:rsidR="00FD0711" w:rsidRPr="005A7F8C" w:rsidRDefault="00FD0711" w:rsidP="00662824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ind w:left="641"/>
            </w:pP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11"/>
        <w:gridCol w:w="3811"/>
      </w:tblGrid>
      <w:tr w:rsidR="00072B00" w14:paraId="78BF18FD" w14:textId="77777777" w:rsidTr="003075CA">
        <w:tc>
          <w:tcPr>
            <w:tcW w:w="2207" w:type="dxa"/>
          </w:tcPr>
          <w:p w14:paraId="5F83081C" w14:textId="5BB1C07A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277" w:type="dxa"/>
          </w:tcPr>
          <w:p w14:paraId="169F6AC2" w14:textId="5768BEA6" w:rsidR="005A7F8C" w:rsidRDefault="00072B00" w:rsidP="005A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6763E5E6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14:paraId="5D670ACD" w14:textId="2E05E804" w:rsidR="00072B00" w:rsidRPr="00B4650B" w:rsidRDefault="00072B00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5190D2EB" w:rsidR="00072B00" w:rsidRPr="00E31EBB" w:rsidRDefault="0043227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E779D5D" w:rsidR="00072B00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Cristina Ilinca</w:t>
            </w: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4020CBB0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192A7E91" w:rsidR="00432273" w:rsidRPr="00E31EBB" w:rsidRDefault="0043227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54CBB2D4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4F76C451" w:rsidR="00FB6888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Conf.univ.dr.Laura</w:t>
            </w:r>
            <w:r w:rsidR="009E7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4C881482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3A28615A" w14:textId="1D57F8F1" w:rsidR="00432273" w:rsidRPr="00E31EBB" w:rsidRDefault="0043227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3075CA" w:rsidRPr="00E31EBB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7FBA044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6E1E3907" w:rsidR="003075CA" w:rsidRDefault="00E31EB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791F14">
      <w:headerReference w:type="default" r:id="rId16"/>
      <w:pgSz w:w="11906" w:h="16838"/>
      <w:pgMar w:top="720" w:right="907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752DB" w14:textId="77777777" w:rsidR="00A90B88" w:rsidRDefault="00A90B88" w:rsidP="006B0230">
      <w:pPr>
        <w:spacing w:after="0" w:line="240" w:lineRule="auto"/>
      </w:pPr>
      <w:r>
        <w:separator/>
      </w:r>
    </w:p>
  </w:endnote>
  <w:endnote w:type="continuationSeparator" w:id="0">
    <w:p w14:paraId="6E5BF62B" w14:textId="77777777" w:rsidR="00A90B88" w:rsidRDefault="00A90B88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D0396" w14:textId="77777777" w:rsidR="00A90B88" w:rsidRDefault="00A90B88" w:rsidP="006B0230">
      <w:pPr>
        <w:spacing w:after="0" w:line="240" w:lineRule="auto"/>
      </w:pPr>
      <w:r>
        <w:separator/>
      </w:r>
    </w:p>
  </w:footnote>
  <w:footnote w:type="continuationSeparator" w:id="0">
    <w:p w14:paraId="7BA8853B" w14:textId="77777777" w:rsidR="00A90B88" w:rsidRDefault="00A90B88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C947C5F" w14:textId="3AF41295" w:rsidR="00DA31C6" w:rsidRPr="00B97DD5" w:rsidRDefault="00DA31C6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9B23A2" w:rsidRPr="00B97DD5">
        <w:rPr>
          <w:i/>
          <w:color w:val="7F7F7F" w:themeColor="text1" w:themeTint="80"/>
        </w:rPr>
        <w:t>Fundamentală / de speciali</w:t>
      </w:r>
      <w:r w:rsidR="009B23A2">
        <w:rPr>
          <w:i/>
          <w:color w:val="7F7F7F" w:themeColor="text1" w:themeTint="80"/>
        </w:rPr>
        <w:t>zare/ complementare</w:t>
      </w:r>
      <w:r w:rsidR="009B23A2"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7"/>
      <w:gridCol w:w="7510"/>
      <w:gridCol w:w="1344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72EAA"/>
    <w:multiLevelType w:val="multilevel"/>
    <w:tmpl w:val="B3207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2"/>
  </w:num>
  <w:num w:numId="3" w16cid:durableId="258608419">
    <w:abstractNumId w:val="9"/>
  </w:num>
  <w:num w:numId="4" w16cid:durableId="824277224">
    <w:abstractNumId w:val="17"/>
  </w:num>
  <w:num w:numId="5" w16cid:durableId="1395470212">
    <w:abstractNumId w:val="13"/>
  </w:num>
  <w:num w:numId="6" w16cid:durableId="1887570307">
    <w:abstractNumId w:val="1"/>
  </w:num>
  <w:num w:numId="7" w16cid:durableId="311913043">
    <w:abstractNumId w:val="3"/>
  </w:num>
  <w:num w:numId="8" w16cid:durableId="83376813">
    <w:abstractNumId w:val="10"/>
  </w:num>
  <w:num w:numId="9" w16cid:durableId="1415782996">
    <w:abstractNumId w:val="23"/>
  </w:num>
  <w:num w:numId="10" w16cid:durableId="115563253">
    <w:abstractNumId w:val="11"/>
  </w:num>
  <w:num w:numId="11" w16cid:durableId="1712412863">
    <w:abstractNumId w:val="4"/>
  </w:num>
  <w:num w:numId="12" w16cid:durableId="684669261">
    <w:abstractNumId w:val="20"/>
  </w:num>
  <w:num w:numId="13" w16cid:durableId="589778944">
    <w:abstractNumId w:val="14"/>
  </w:num>
  <w:num w:numId="14" w16cid:durableId="283855198">
    <w:abstractNumId w:val="16"/>
  </w:num>
  <w:num w:numId="15" w16cid:durableId="727650862">
    <w:abstractNumId w:val="15"/>
  </w:num>
  <w:num w:numId="16" w16cid:durableId="1808426706">
    <w:abstractNumId w:val="7"/>
  </w:num>
  <w:num w:numId="17" w16cid:durableId="582108211">
    <w:abstractNumId w:val="2"/>
  </w:num>
  <w:num w:numId="18" w16cid:durableId="471601454">
    <w:abstractNumId w:val="18"/>
  </w:num>
  <w:num w:numId="19" w16cid:durableId="222521144">
    <w:abstractNumId w:val="8"/>
  </w:num>
  <w:num w:numId="20" w16cid:durableId="1666738476">
    <w:abstractNumId w:val="21"/>
  </w:num>
  <w:num w:numId="21" w16cid:durableId="772676043">
    <w:abstractNumId w:val="5"/>
  </w:num>
  <w:num w:numId="22" w16cid:durableId="661348124">
    <w:abstractNumId w:val="24"/>
  </w:num>
  <w:num w:numId="23" w16cid:durableId="1415277359">
    <w:abstractNumId w:val="6"/>
  </w:num>
  <w:num w:numId="24" w16cid:durableId="2052487911">
    <w:abstractNumId w:val="22"/>
  </w:num>
  <w:num w:numId="25" w16cid:durableId="19949863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206D2"/>
    <w:rsid w:val="000229B8"/>
    <w:rsid w:val="00024FEB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A5A59"/>
    <w:rsid w:val="000B053A"/>
    <w:rsid w:val="000B1429"/>
    <w:rsid w:val="000B3BD0"/>
    <w:rsid w:val="000B6EB7"/>
    <w:rsid w:val="000C2BD3"/>
    <w:rsid w:val="000E0211"/>
    <w:rsid w:val="000E0F5C"/>
    <w:rsid w:val="000E3686"/>
    <w:rsid w:val="000E4FBF"/>
    <w:rsid w:val="00101A4C"/>
    <w:rsid w:val="001104F4"/>
    <w:rsid w:val="001177E6"/>
    <w:rsid w:val="001232AB"/>
    <w:rsid w:val="0013302B"/>
    <w:rsid w:val="00136B06"/>
    <w:rsid w:val="00140EB3"/>
    <w:rsid w:val="00141A34"/>
    <w:rsid w:val="0015322F"/>
    <w:rsid w:val="00155123"/>
    <w:rsid w:val="00161CC5"/>
    <w:rsid w:val="00182C22"/>
    <w:rsid w:val="001878EA"/>
    <w:rsid w:val="0019447C"/>
    <w:rsid w:val="00196FD8"/>
    <w:rsid w:val="001A6CC3"/>
    <w:rsid w:val="001A7391"/>
    <w:rsid w:val="001B1709"/>
    <w:rsid w:val="001B1D5F"/>
    <w:rsid w:val="001B2D42"/>
    <w:rsid w:val="001B6453"/>
    <w:rsid w:val="001B7FAD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418D"/>
    <w:rsid w:val="00225272"/>
    <w:rsid w:val="00240704"/>
    <w:rsid w:val="00241DCA"/>
    <w:rsid w:val="00241E04"/>
    <w:rsid w:val="00246F30"/>
    <w:rsid w:val="002522F4"/>
    <w:rsid w:val="00253624"/>
    <w:rsid w:val="002625B0"/>
    <w:rsid w:val="00267ECC"/>
    <w:rsid w:val="0027455B"/>
    <w:rsid w:val="002812A5"/>
    <w:rsid w:val="00283B63"/>
    <w:rsid w:val="00285303"/>
    <w:rsid w:val="00286466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2F7173"/>
    <w:rsid w:val="003072E1"/>
    <w:rsid w:val="003075CA"/>
    <w:rsid w:val="00323BAF"/>
    <w:rsid w:val="00324AAD"/>
    <w:rsid w:val="00333131"/>
    <w:rsid w:val="003341B8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806E1"/>
    <w:rsid w:val="00391F73"/>
    <w:rsid w:val="003A3A4B"/>
    <w:rsid w:val="003A44E3"/>
    <w:rsid w:val="003B55E2"/>
    <w:rsid w:val="003B5A02"/>
    <w:rsid w:val="003B7974"/>
    <w:rsid w:val="003C430C"/>
    <w:rsid w:val="003C6DC8"/>
    <w:rsid w:val="003D0D85"/>
    <w:rsid w:val="003D1D3B"/>
    <w:rsid w:val="003D58E7"/>
    <w:rsid w:val="003E4A22"/>
    <w:rsid w:val="003E4B11"/>
    <w:rsid w:val="003E72A5"/>
    <w:rsid w:val="003E7F77"/>
    <w:rsid w:val="003F253C"/>
    <w:rsid w:val="003F49D3"/>
    <w:rsid w:val="00404FF0"/>
    <w:rsid w:val="00405D76"/>
    <w:rsid w:val="00406555"/>
    <w:rsid w:val="00414517"/>
    <w:rsid w:val="0042161F"/>
    <w:rsid w:val="00426218"/>
    <w:rsid w:val="00427B4D"/>
    <w:rsid w:val="00432273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C3756"/>
    <w:rsid w:val="004D278A"/>
    <w:rsid w:val="004D4A49"/>
    <w:rsid w:val="004E0155"/>
    <w:rsid w:val="004F426F"/>
    <w:rsid w:val="004F6CD3"/>
    <w:rsid w:val="005013E2"/>
    <w:rsid w:val="00502C98"/>
    <w:rsid w:val="00530A49"/>
    <w:rsid w:val="00532F3D"/>
    <w:rsid w:val="00533EB9"/>
    <w:rsid w:val="00536B72"/>
    <w:rsid w:val="00563549"/>
    <w:rsid w:val="00576EC0"/>
    <w:rsid w:val="0058346F"/>
    <w:rsid w:val="00587222"/>
    <w:rsid w:val="005976E7"/>
    <w:rsid w:val="005A12E1"/>
    <w:rsid w:val="005A4B4E"/>
    <w:rsid w:val="005A7F8C"/>
    <w:rsid w:val="005B402D"/>
    <w:rsid w:val="005C23EC"/>
    <w:rsid w:val="005D2AE2"/>
    <w:rsid w:val="005E20A7"/>
    <w:rsid w:val="006075EF"/>
    <w:rsid w:val="00630381"/>
    <w:rsid w:val="00637494"/>
    <w:rsid w:val="00637B47"/>
    <w:rsid w:val="00640429"/>
    <w:rsid w:val="0065472F"/>
    <w:rsid w:val="00656530"/>
    <w:rsid w:val="00656C36"/>
    <w:rsid w:val="006577CD"/>
    <w:rsid w:val="00660A65"/>
    <w:rsid w:val="00662824"/>
    <w:rsid w:val="00663268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4561"/>
    <w:rsid w:val="006E7AB8"/>
    <w:rsid w:val="006F3F6C"/>
    <w:rsid w:val="006F64C6"/>
    <w:rsid w:val="00700487"/>
    <w:rsid w:val="00704B23"/>
    <w:rsid w:val="00706197"/>
    <w:rsid w:val="007122B4"/>
    <w:rsid w:val="007209ED"/>
    <w:rsid w:val="00723DB0"/>
    <w:rsid w:val="00724794"/>
    <w:rsid w:val="00730CEE"/>
    <w:rsid w:val="00733BD4"/>
    <w:rsid w:val="007449F1"/>
    <w:rsid w:val="00745DEC"/>
    <w:rsid w:val="00746248"/>
    <w:rsid w:val="00754636"/>
    <w:rsid w:val="00756733"/>
    <w:rsid w:val="00757C43"/>
    <w:rsid w:val="00761633"/>
    <w:rsid w:val="00762B26"/>
    <w:rsid w:val="0077122B"/>
    <w:rsid w:val="0077312B"/>
    <w:rsid w:val="007740E0"/>
    <w:rsid w:val="00790553"/>
    <w:rsid w:val="00791F14"/>
    <w:rsid w:val="007927E2"/>
    <w:rsid w:val="007968EB"/>
    <w:rsid w:val="007A1B42"/>
    <w:rsid w:val="007A50A0"/>
    <w:rsid w:val="007A6A25"/>
    <w:rsid w:val="007B2369"/>
    <w:rsid w:val="007C374C"/>
    <w:rsid w:val="007C3E40"/>
    <w:rsid w:val="007C6BB6"/>
    <w:rsid w:val="007D57DE"/>
    <w:rsid w:val="007E723C"/>
    <w:rsid w:val="007F393B"/>
    <w:rsid w:val="007F5D66"/>
    <w:rsid w:val="007F6B7E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6DD8"/>
    <w:rsid w:val="00897094"/>
    <w:rsid w:val="00897E4F"/>
    <w:rsid w:val="00897EBD"/>
    <w:rsid w:val="008A1E7A"/>
    <w:rsid w:val="008A7114"/>
    <w:rsid w:val="008B4A1F"/>
    <w:rsid w:val="008B5BEA"/>
    <w:rsid w:val="008C3D44"/>
    <w:rsid w:val="008D1A77"/>
    <w:rsid w:val="008D49B5"/>
    <w:rsid w:val="008D4F5A"/>
    <w:rsid w:val="008D7937"/>
    <w:rsid w:val="008E4BB6"/>
    <w:rsid w:val="008E51C6"/>
    <w:rsid w:val="008E5CBA"/>
    <w:rsid w:val="008E6270"/>
    <w:rsid w:val="008F44F6"/>
    <w:rsid w:val="008F48E0"/>
    <w:rsid w:val="008F5E42"/>
    <w:rsid w:val="0091383B"/>
    <w:rsid w:val="00916D13"/>
    <w:rsid w:val="00924485"/>
    <w:rsid w:val="00926C0E"/>
    <w:rsid w:val="00930CE9"/>
    <w:rsid w:val="00932625"/>
    <w:rsid w:val="00935D20"/>
    <w:rsid w:val="0094039F"/>
    <w:rsid w:val="0094747F"/>
    <w:rsid w:val="00957148"/>
    <w:rsid w:val="00962A3E"/>
    <w:rsid w:val="009739F4"/>
    <w:rsid w:val="00975323"/>
    <w:rsid w:val="00994E0F"/>
    <w:rsid w:val="009A162C"/>
    <w:rsid w:val="009A64D0"/>
    <w:rsid w:val="009B0688"/>
    <w:rsid w:val="009B23A2"/>
    <w:rsid w:val="009B3C4D"/>
    <w:rsid w:val="009B449A"/>
    <w:rsid w:val="009C1184"/>
    <w:rsid w:val="009C6E3E"/>
    <w:rsid w:val="009E64C2"/>
    <w:rsid w:val="009E6519"/>
    <w:rsid w:val="009E7E85"/>
    <w:rsid w:val="009F003A"/>
    <w:rsid w:val="009F2776"/>
    <w:rsid w:val="009F3B07"/>
    <w:rsid w:val="00A02CC9"/>
    <w:rsid w:val="00A1304B"/>
    <w:rsid w:val="00A225CE"/>
    <w:rsid w:val="00A22F09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28C7"/>
    <w:rsid w:val="00A637BC"/>
    <w:rsid w:val="00A655E6"/>
    <w:rsid w:val="00A74205"/>
    <w:rsid w:val="00A76F8E"/>
    <w:rsid w:val="00A77251"/>
    <w:rsid w:val="00A8092B"/>
    <w:rsid w:val="00A90B88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13421"/>
    <w:rsid w:val="00B33D7D"/>
    <w:rsid w:val="00B34B0F"/>
    <w:rsid w:val="00B4650B"/>
    <w:rsid w:val="00B53C95"/>
    <w:rsid w:val="00B54B49"/>
    <w:rsid w:val="00B559AB"/>
    <w:rsid w:val="00B609FA"/>
    <w:rsid w:val="00B7109F"/>
    <w:rsid w:val="00B7391E"/>
    <w:rsid w:val="00B73C84"/>
    <w:rsid w:val="00B91DB1"/>
    <w:rsid w:val="00B95F96"/>
    <w:rsid w:val="00B96466"/>
    <w:rsid w:val="00B97DD5"/>
    <w:rsid w:val="00BA0EDC"/>
    <w:rsid w:val="00BB50D8"/>
    <w:rsid w:val="00BC246B"/>
    <w:rsid w:val="00BC54CA"/>
    <w:rsid w:val="00BD0C32"/>
    <w:rsid w:val="00BD7432"/>
    <w:rsid w:val="00BE0C98"/>
    <w:rsid w:val="00C016EB"/>
    <w:rsid w:val="00C036D6"/>
    <w:rsid w:val="00C116E4"/>
    <w:rsid w:val="00C1183D"/>
    <w:rsid w:val="00C14143"/>
    <w:rsid w:val="00C1599F"/>
    <w:rsid w:val="00C17415"/>
    <w:rsid w:val="00C26673"/>
    <w:rsid w:val="00C33B75"/>
    <w:rsid w:val="00C36E73"/>
    <w:rsid w:val="00C37AFA"/>
    <w:rsid w:val="00C424BD"/>
    <w:rsid w:val="00C62788"/>
    <w:rsid w:val="00C62D93"/>
    <w:rsid w:val="00C67C8A"/>
    <w:rsid w:val="00C766FA"/>
    <w:rsid w:val="00C82A44"/>
    <w:rsid w:val="00C83775"/>
    <w:rsid w:val="00C85AC1"/>
    <w:rsid w:val="00C93271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93E56"/>
    <w:rsid w:val="00DA31C6"/>
    <w:rsid w:val="00DA433D"/>
    <w:rsid w:val="00DB2E68"/>
    <w:rsid w:val="00DB363F"/>
    <w:rsid w:val="00DC2572"/>
    <w:rsid w:val="00DC450D"/>
    <w:rsid w:val="00DC601D"/>
    <w:rsid w:val="00DD2B25"/>
    <w:rsid w:val="00DD532D"/>
    <w:rsid w:val="00DE3F01"/>
    <w:rsid w:val="00DF11DA"/>
    <w:rsid w:val="00DF2EBE"/>
    <w:rsid w:val="00DF303E"/>
    <w:rsid w:val="00DF6ACB"/>
    <w:rsid w:val="00E017F8"/>
    <w:rsid w:val="00E02214"/>
    <w:rsid w:val="00E037F6"/>
    <w:rsid w:val="00E10ACB"/>
    <w:rsid w:val="00E116EB"/>
    <w:rsid w:val="00E1550B"/>
    <w:rsid w:val="00E20BD3"/>
    <w:rsid w:val="00E31041"/>
    <w:rsid w:val="00E3142E"/>
    <w:rsid w:val="00E31EBB"/>
    <w:rsid w:val="00E352FA"/>
    <w:rsid w:val="00E437C3"/>
    <w:rsid w:val="00E470EE"/>
    <w:rsid w:val="00E5135C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97EE0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54FF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C7991"/>
    <w:rsid w:val="00FD0711"/>
    <w:rsid w:val="00FD4111"/>
    <w:rsid w:val="00FD54D5"/>
    <w:rsid w:val="00FD5B5D"/>
    <w:rsid w:val="00FD7DF0"/>
    <w:rsid w:val="00FE0BA9"/>
    <w:rsid w:val="00FE136D"/>
    <w:rsid w:val="00FF00D9"/>
    <w:rsid w:val="00FF2C91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007/978-3-030-42105-2_2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i.org/10.47476/jat.v7i2.2024.30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47476/jat.v7i2.2024.3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routledge.com/search?author=Luis%20P%C3%A9rez-Gonz%C3%A1lez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outledge.com/search?author=Luis%20P%C3%A9rez-Gonz%C3%A1le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15</cp:revision>
  <dcterms:created xsi:type="dcterms:W3CDTF">2025-09-30T10:09:00Z</dcterms:created>
  <dcterms:modified xsi:type="dcterms:W3CDTF">2025-10-26T20:29:00Z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